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41D53FE"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281AEB">
        <w:rPr>
          <w:rFonts w:cs="Arial"/>
          <w:b/>
          <w:sz w:val="24"/>
          <w:szCs w:val="24"/>
        </w:rPr>
        <w:t>b-</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2C6257">
        <w:rPr>
          <w:rFonts w:cs="Arial"/>
          <w:b/>
          <w:sz w:val="24"/>
          <w:szCs w:val="24"/>
        </w:rPr>
        <w:t>0494</w:t>
      </w:r>
    </w:p>
    <w:p w14:paraId="31DCE6A5" w14:textId="3E215F75"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281AEB" w:rsidRPr="004E2857">
        <w:rPr>
          <w:rFonts w:cs="Arial"/>
          <w:b/>
          <w:sz w:val="24"/>
          <w:szCs w:val="24"/>
          <w:lang w:eastAsia="zh-CN"/>
        </w:rPr>
        <w:t>January 17-25,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4C7718C1"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F4521" w:rsidRPr="000F4521">
        <w:rPr>
          <w:rFonts w:cs="Arial"/>
          <w:sz w:val="22"/>
        </w:rPr>
        <w:t>Implementation aspects of increasing MOP for PC2 inter-band</w:t>
      </w:r>
      <w:r w:rsidR="000F4521">
        <w:rPr>
          <w:rFonts w:cs="Arial"/>
          <w:sz w:val="22"/>
        </w:rPr>
        <w:t xml:space="preserve"> </w:t>
      </w:r>
      <w:r w:rsidR="000F4521" w:rsidRPr="000F4521">
        <w:rPr>
          <w:rFonts w:cs="Arial"/>
          <w:sz w:val="22"/>
        </w:rPr>
        <w:t>ULCA</w:t>
      </w:r>
    </w:p>
    <w:p w14:paraId="5E8A96B5" w14:textId="09763026"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0F4521" w:rsidRPr="000F4521">
        <w:rPr>
          <w:rFonts w:ascii="Arial" w:hAnsi="Arial" w:cs="Arial"/>
          <w:sz w:val="22"/>
        </w:rPr>
        <w:t>5.35.2 Feasibility and impact study</w:t>
      </w:r>
      <w:r w:rsidR="000F4521">
        <w:rPr>
          <w:rFonts w:ascii="Arial" w:hAnsi="Arial" w:cs="Arial"/>
          <w:sz w:val="22"/>
        </w:rPr>
        <w:t xml:space="preserve"> </w:t>
      </w:r>
      <w:r w:rsidR="000F4521" w:rsidRPr="000F4521">
        <w:rPr>
          <w:rFonts w:ascii="Arial" w:hAnsi="Arial" w:cs="Arial"/>
          <w:sz w:val="22"/>
        </w:rPr>
        <w:t>[Power_Limit_CA_DC]</w:t>
      </w:r>
    </w:p>
    <w:p w14:paraId="2E5C6AEA" w14:textId="05C496C4"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162702FC" w:rsidR="00577141" w:rsidRDefault="00231902" w:rsidP="00577141">
      <w:pPr>
        <w:overflowPunct/>
        <w:autoSpaceDE/>
        <w:autoSpaceDN/>
        <w:adjustRightInd/>
        <w:spacing w:after="0"/>
        <w:jc w:val="both"/>
        <w:textAlignment w:val="auto"/>
        <w:rPr>
          <w:rFonts w:eastAsia="SimSun"/>
          <w:lang w:eastAsia="zh-CN"/>
        </w:rPr>
      </w:pPr>
      <w:r>
        <w:rPr>
          <w:rFonts w:eastAsia="SimSun"/>
          <w:lang w:eastAsia="zh-CN"/>
        </w:rPr>
        <w:t>During</w:t>
      </w:r>
      <w:r w:rsidR="009A30BB">
        <w:rPr>
          <w:rFonts w:eastAsia="SimSun"/>
          <w:lang w:eastAsia="zh-CN"/>
        </w:rPr>
        <w:t xml:space="preserve"> </w:t>
      </w:r>
      <w:r w:rsidR="00BE6454">
        <w:rPr>
          <w:rFonts w:eastAsia="SimSun"/>
          <w:lang w:eastAsia="zh-CN"/>
        </w:rPr>
        <w:t>R</w:t>
      </w:r>
      <w:r w:rsidR="008F1687">
        <w:rPr>
          <w:rFonts w:eastAsia="SimSun"/>
          <w:lang w:eastAsia="zh-CN"/>
        </w:rPr>
        <w:t>4#101-e</w:t>
      </w:r>
      <w:r w:rsidR="00BE6454">
        <w:rPr>
          <w:rFonts w:eastAsia="SimSun"/>
          <w:lang w:eastAsia="zh-CN"/>
        </w:rPr>
        <w:t xml:space="preserve"> meetings, </w:t>
      </w:r>
      <w:r>
        <w:rPr>
          <w:rFonts w:eastAsia="SimSun"/>
          <w:lang w:eastAsia="zh-CN"/>
        </w:rPr>
        <w:t>additional</w:t>
      </w:r>
      <w:r w:rsidR="008F1687">
        <w:rPr>
          <w:rFonts w:eastAsia="SimSun"/>
          <w:lang w:eastAsia="zh-CN"/>
        </w:rPr>
        <w:t xml:space="preserve"> input was provided in [</w:t>
      </w:r>
      <w:r w:rsidR="00B900DD">
        <w:rPr>
          <w:rFonts w:eastAsia="SimSun"/>
          <w:lang w:eastAsia="zh-CN"/>
        </w:rPr>
        <w:t>2</w:t>
      </w:r>
      <w:r w:rsidR="008F1687">
        <w:rPr>
          <w:rFonts w:eastAsia="SimSun"/>
          <w:lang w:eastAsia="zh-CN"/>
        </w:rPr>
        <w:t xml:space="preserve">] </w:t>
      </w:r>
      <w:r w:rsidR="00B900DD">
        <w:rPr>
          <w:rFonts w:eastAsia="SimSun"/>
          <w:lang w:eastAsia="zh-CN"/>
        </w:rPr>
        <w:t>on applicable cases and further agreements are captured in way forward [1]</w:t>
      </w:r>
      <w:r w:rsidR="00ED318E">
        <w:rPr>
          <w:rFonts w:eastAsia="SimSun"/>
          <w:lang w:eastAsia="zh-CN"/>
        </w:rPr>
        <w:t xml:space="preserve">. </w:t>
      </w:r>
      <w:r w:rsidR="00B900DD">
        <w:rPr>
          <w:rFonts w:eastAsia="SimSun"/>
          <w:lang w:eastAsia="zh-CN"/>
        </w:rPr>
        <w:t>In this contribution</w:t>
      </w:r>
      <w:r>
        <w:rPr>
          <w:rFonts w:eastAsia="SimSun"/>
          <w:lang w:eastAsia="zh-CN"/>
        </w:rPr>
        <w:t>,</w:t>
      </w:r>
      <w:r w:rsidR="00B900DD">
        <w:rPr>
          <w:rFonts w:eastAsia="SimSun"/>
          <w:lang w:eastAsia="zh-CN"/>
        </w:rPr>
        <w:t xml:space="preserve"> we further examine the different PC2 inter-band cases with a focus on the cases where one band is based on a 2Tx PC2 or PC1.5 implementation</w:t>
      </w:r>
      <w:r w:rsidR="00842311">
        <w:rPr>
          <w:rFonts w:eastAsia="SimSun"/>
          <w:lang w:eastAsia="zh-CN"/>
        </w:rPr>
        <w:t>.</w:t>
      </w:r>
    </w:p>
    <w:p w14:paraId="3691CAA8" w14:textId="74DD6F22" w:rsidR="006861A7" w:rsidRDefault="00853ECB" w:rsidP="006861A7">
      <w:pPr>
        <w:pStyle w:val="Heading1"/>
        <w:pBdr>
          <w:top w:val="single" w:sz="12" w:space="5" w:color="auto"/>
        </w:pBdr>
        <w:jc w:val="both"/>
        <w:rPr>
          <w:rFonts w:eastAsia="SimSun"/>
          <w:lang w:eastAsia="zh-CN"/>
        </w:rPr>
      </w:pPr>
      <w:r>
        <w:rPr>
          <w:rFonts w:eastAsia="SimSun" w:hint="eastAsia"/>
          <w:lang w:eastAsia="zh-CN"/>
        </w:rPr>
        <w:t>Discussion</w:t>
      </w:r>
    </w:p>
    <w:p w14:paraId="679E782B" w14:textId="55ACDA52" w:rsidR="00C94088" w:rsidRDefault="006861A7" w:rsidP="006861A7">
      <w:pPr>
        <w:pStyle w:val="Heading2"/>
        <w:spacing w:after="240"/>
        <w:rPr>
          <w:lang w:eastAsia="zh-CN"/>
        </w:rPr>
      </w:pPr>
      <w:r>
        <w:rPr>
          <w:lang w:eastAsia="zh-CN"/>
        </w:rPr>
        <w:t xml:space="preserve">Implementation aspect of </w:t>
      </w:r>
      <w:r w:rsidR="00BC542B">
        <w:rPr>
          <w:lang w:eastAsia="zh-CN"/>
        </w:rPr>
        <w:t xml:space="preserve">increased power for PC2 </w:t>
      </w:r>
      <w:r w:rsidR="00C94088">
        <w:rPr>
          <w:lang w:eastAsia="zh-CN"/>
        </w:rPr>
        <w:t>inter-band UL CA</w:t>
      </w:r>
    </w:p>
    <w:p w14:paraId="52B3A760" w14:textId="6A3994AB" w:rsidR="005C32A9" w:rsidRDefault="00637CD1" w:rsidP="00385DFF">
      <w:pPr>
        <w:spacing w:after="0"/>
        <w:rPr>
          <w:lang w:val="en-GB" w:eastAsia="zh-CN"/>
        </w:rPr>
      </w:pPr>
      <w:r>
        <w:rPr>
          <w:lang w:val="en-GB" w:eastAsia="zh-CN"/>
        </w:rPr>
        <w:t>In the scope of the PC2 intra-band feature</w:t>
      </w:r>
      <w:r w:rsidR="0038584F">
        <w:rPr>
          <w:lang w:val="en-GB" w:eastAsia="zh-CN"/>
        </w:rPr>
        <w:t>,</w:t>
      </w:r>
      <w:r>
        <w:rPr>
          <w:lang w:val="en-GB" w:eastAsia="zh-CN"/>
        </w:rPr>
        <w:t xml:space="preserve"> there are discussions about UEs where at least one band supports HPUE</w:t>
      </w:r>
      <w:r w:rsidR="0038584F">
        <w:rPr>
          <w:lang w:val="en-GB" w:eastAsia="zh-CN"/>
        </w:rPr>
        <w:t>,</w:t>
      </w:r>
      <w:r>
        <w:rPr>
          <w:lang w:val="en-GB" w:eastAsia="zh-CN"/>
        </w:rPr>
        <w:t xml:space="preserve"> can exceed the PC2 maximum power. This is </w:t>
      </w:r>
      <w:r w:rsidR="00231902">
        <w:rPr>
          <w:lang w:val="en-GB" w:eastAsia="zh-CN"/>
        </w:rPr>
        <w:t>essentially</w:t>
      </w:r>
      <w:r>
        <w:rPr>
          <w:lang w:val="en-GB" w:eastAsia="zh-CN"/>
        </w:rPr>
        <w:t xml:space="preserve"> related to the same PA architecture issue </w:t>
      </w:r>
      <w:r w:rsidR="006861A7">
        <w:rPr>
          <w:lang w:val="en-GB" w:eastAsia="zh-CN"/>
        </w:rPr>
        <w:t>discussed in [</w:t>
      </w:r>
      <w:r w:rsidR="008F1687">
        <w:rPr>
          <w:lang w:val="en-GB" w:eastAsia="zh-CN"/>
        </w:rPr>
        <w:t>3</w:t>
      </w:r>
      <w:r w:rsidR="006861A7">
        <w:rPr>
          <w:lang w:val="en-GB" w:eastAsia="zh-CN"/>
        </w:rPr>
        <w:t>]</w:t>
      </w:r>
    </w:p>
    <w:p w14:paraId="64C26DB9" w14:textId="11AD4B27" w:rsidR="00637CD1" w:rsidRDefault="00637CD1" w:rsidP="00F91A55">
      <w:pPr>
        <w:pStyle w:val="ListParagraph"/>
        <w:numPr>
          <w:ilvl w:val="0"/>
          <w:numId w:val="31"/>
        </w:numPr>
        <w:spacing w:after="0"/>
        <w:rPr>
          <w:lang w:val="en-GB" w:eastAsia="zh-CN"/>
        </w:rPr>
      </w:pPr>
      <w:r>
        <w:rPr>
          <w:lang w:val="en-GB" w:eastAsia="zh-CN"/>
        </w:rPr>
        <w:t xml:space="preserve">2x1/2 (23+23) architecture cannot exceed 26dBm </w:t>
      </w:r>
      <w:r w:rsidR="00173AD8">
        <w:rPr>
          <w:lang w:val="en-GB" w:eastAsia="zh-CN"/>
        </w:rPr>
        <w:t>(</w:t>
      </w:r>
      <w:r>
        <w:rPr>
          <w:lang w:val="en-GB" w:eastAsia="zh-CN"/>
        </w:rPr>
        <w:t>+2dB</w:t>
      </w:r>
      <w:r w:rsidR="00173AD8">
        <w:rPr>
          <w:lang w:val="en-GB" w:eastAsia="zh-CN"/>
        </w:rPr>
        <w:t xml:space="preserve"> with power class range)</w:t>
      </w:r>
    </w:p>
    <w:p w14:paraId="566A5F9B" w14:textId="6E3E506F" w:rsidR="00637CD1" w:rsidRDefault="00637CD1" w:rsidP="00F91A55">
      <w:pPr>
        <w:pStyle w:val="ListParagraph"/>
        <w:numPr>
          <w:ilvl w:val="0"/>
          <w:numId w:val="31"/>
        </w:numPr>
        <w:spacing w:after="0"/>
        <w:rPr>
          <w:lang w:val="en-GB" w:eastAsia="zh-CN"/>
        </w:rPr>
      </w:pPr>
      <w:r>
        <w:rPr>
          <w:lang w:val="en-GB" w:eastAsia="zh-CN"/>
        </w:rPr>
        <w:t>1+1/2 (23+26)</w:t>
      </w:r>
      <w:r w:rsidR="00173AD8">
        <w:rPr>
          <w:lang w:val="en-GB" w:eastAsia="zh-CN"/>
        </w:rPr>
        <w:t xml:space="preserve"> architecture</w:t>
      </w:r>
      <w:r>
        <w:rPr>
          <w:lang w:val="en-GB" w:eastAsia="zh-CN"/>
        </w:rPr>
        <w:t xml:space="preserve"> </w:t>
      </w:r>
      <w:r w:rsidR="00173AD8">
        <w:rPr>
          <w:lang w:val="en-GB" w:eastAsia="zh-CN"/>
        </w:rPr>
        <w:t>can reach up to 27.75dBm (+2dB with power class range)</w:t>
      </w:r>
    </w:p>
    <w:p w14:paraId="065B4D31" w14:textId="519FD8C9" w:rsidR="00173AD8" w:rsidRDefault="00173AD8" w:rsidP="00F91A55">
      <w:pPr>
        <w:pStyle w:val="ListParagraph"/>
        <w:numPr>
          <w:ilvl w:val="0"/>
          <w:numId w:val="31"/>
        </w:numPr>
        <w:spacing w:after="0"/>
        <w:rPr>
          <w:lang w:val="en-GB" w:eastAsia="zh-CN"/>
        </w:rPr>
      </w:pPr>
      <w:r>
        <w:rPr>
          <w:lang w:val="en-GB" w:eastAsia="zh-CN"/>
        </w:rPr>
        <w:t xml:space="preserve">2x1 (26+26) architecture can reach up to 29dBm (+2dB with power class range). </w:t>
      </w:r>
      <w:r w:rsidRPr="00173AD8">
        <w:rPr>
          <w:lang w:val="en-GB" w:eastAsia="zh-CN"/>
        </w:rPr>
        <w:t>Note that</w:t>
      </w:r>
      <w:r>
        <w:rPr>
          <w:lang w:val="en-GB" w:eastAsia="zh-CN"/>
        </w:rPr>
        <w:t xml:space="preserve"> this case</w:t>
      </w:r>
      <w:r w:rsidR="00231902">
        <w:rPr>
          <w:lang w:val="en-GB" w:eastAsia="zh-CN"/>
        </w:rPr>
        <w:t>,</w:t>
      </w:r>
      <w:r w:rsidRPr="00173AD8">
        <w:rPr>
          <w:lang w:val="en-GB" w:eastAsia="zh-CN"/>
        </w:rPr>
        <w:t xml:space="preserve"> </w:t>
      </w:r>
      <w:r w:rsidR="00231902">
        <w:rPr>
          <w:lang w:val="en-GB" w:eastAsia="zh-CN"/>
        </w:rPr>
        <w:t>could</w:t>
      </w:r>
      <w:r w:rsidRPr="00173AD8">
        <w:rPr>
          <w:lang w:val="en-GB" w:eastAsia="zh-CN"/>
        </w:rPr>
        <w:t xml:space="preserve"> be considered </w:t>
      </w:r>
      <w:r w:rsidR="00231902">
        <w:rPr>
          <w:lang w:val="en-GB" w:eastAsia="zh-CN"/>
        </w:rPr>
        <w:t>either as PC2 or PC1.5.</w:t>
      </w:r>
    </w:p>
    <w:p w14:paraId="62B9857A" w14:textId="77777777" w:rsidR="006861A7" w:rsidRDefault="006861A7" w:rsidP="006861A7">
      <w:pPr>
        <w:spacing w:after="0"/>
        <w:rPr>
          <w:lang w:val="en-GB" w:eastAsia="zh-CN"/>
        </w:rPr>
      </w:pPr>
    </w:p>
    <w:p w14:paraId="1E74015F" w14:textId="1B84A044" w:rsidR="00173AD8" w:rsidRDefault="00231902" w:rsidP="00173AD8">
      <w:pPr>
        <w:spacing w:after="0"/>
        <w:rPr>
          <w:lang w:val="en-GB" w:eastAsia="zh-CN"/>
        </w:rPr>
      </w:pPr>
      <w:r>
        <w:rPr>
          <w:lang w:val="en-GB" w:eastAsia="zh-CN"/>
        </w:rPr>
        <w:t>O</w:t>
      </w:r>
      <w:r w:rsidR="006861A7">
        <w:rPr>
          <w:lang w:val="en-GB" w:eastAsia="zh-CN"/>
        </w:rPr>
        <w:t>n</w:t>
      </w:r>
      <w:r w:rsidR="008F1687">
        <w:rPr>
          <w:lang w:val="en-GB" w:eastAsia="zh-CN"/>
        </w:rPr>
        <w:t>e</w:t>
      </w:r>
      <w:r w:rsidR="006861A7">
        <w:rPr>
          <w:lang w:val="en-GB" w:eastAsia="zh-CN"/>
        </w:rPr>
        <w:t xml:space="preserve"> band may implement one of the 2Tx architectures described in [</w:t>
      </w:r>
      <w:r w:rsidR="008F1687">
        <w:rPr>
          <w:lang w:val="en-GB" w:eastAsia="zh-CN"/>
        </w:rPr>
        <w:t>3</w:t>
      </w:r>
      <w:r w:rsidR="006861A7">
        <w:rPr>
          <w:lang w:val="en-GB" w:eastAsia="zh-CN"/>
        </w:rPr>
        <w:t>]</w:t>
      </w:r>
      <w:r>
        <w:rPr>
          <w:lang w:val="en-GB" w:eastAsia="zh-CN"/>
        </w:rPr>
        <w:t>.</w:t>
      </w:r>
      <w:r w:rsidR="006861A7">
        <w:rPr>
          <w:lang w:val="en-GB" w:eastAsia="zh-CN"/>
        </w:rPr>
        <w:t xml:space="preserve"> </w:t>
      </w:r>
      <w:r>
        <w:rPr>
          <w:lang w:val="en-GB" w:eastAsia="zh-CN"/>
        </w:rPr>
        <w:t>However,</w:t>
      </w:r>
      <w:r w:rsidR="008F1687">
        <w:rPr>
          <w:lang w:val="en-GB" w:eastAsia="zh-CN"/>
        </w:rPr>
        <w:t xml:space="preserve"> s</w:t>
      </w:r>
      <w:r w:rsidR="00173AD8" w:rsidRPr="00173AD8">
        <w:rPr>
          <w:lang w:val="en-GB" w:eastAsia="zh-CN"/>
        </w:rPr>
        <w:t xml:space="preserve">ince 3Tx is not supported in </w:t>
      </w:r>
      <w:r w:rsidR="00173AD8">
        <w:rPr>
          <w:lang w:val="en-GB" w:eastAsia="zh-CN"/>
        </w:rPr>
        <w:t>R17</w:t>
      </w:r>
      <w:r w:rsidR="008F1687">
        <w:rPr>
          <w:lang w:val="en-GB" w:eastAsia="zh-CN"/>
        </w:rPr>
        <w:t>,</w:t>
      </w:r>
      <w:r w:rsidR="00173AD8">
        <w:rPr>
          <w:lang w:val="en-GB" w:eastAsia="zh-CN"/>
        </w:rPr>
        <w:t xml:space="preserve"> cases with 2UL</w:t>
      </w:r>
      <w:r>
        <w:rPr>
          <w:lang w:val="en-GB" w:eastAsia="zh-CN"/>
        </w:rPr>
        <w:t>,</w:t>
      </w:r>
      <w:r w:rsidR="00173AD8">
        <w:rPr>
          <w:lang w:val="en-GB" w:eastAsia="zh-CN"/>
        </w:rPr>
        <w:t xml:space="preserve"> including 2TX transmissions in one band</w:t>
      </w:r>
      <w:r>
        <w:rPr>
          <w:lang w:val="en-GB" w:eastAsia="zh-CN"/>
        </w:rPr>
        <w:t>,</w:t>
      </w:r>
      <w:r w:rsidR="00173AD8">
        <w:rPr>
          <w:lang w:val="en-GB" w:eastAsia="zh-CN"/>
        </w:rPr>
        <w:t xml:space="preserve"> are not allowed</w:t>
      </w:r>
      <w:r>
        <w:rPr>
          <w:lang w:val="en-GB" w:eastAsia="zh-CN"/>
        </w:rPr>
        <w:t>.</w:t>
      </w:r>
      <w:r w:rsidR="00173AD8">
        <w:rPr>
          <w:lang w:val="en-GB" w:eastAsia="zh-CN"/>
        </w:rPr>
        <w:t xml:space="preserve"> </w:t>
      </w:r>
      <w:r>
        <w:rPr>
          <w:lang w:val="en-GB" w:eastAsia="zh-CN"/>
        </w:rPr>
        <w:t>I</w:t>
      </w:r>
      <w:r w:rsidR="00173AD8">
        <w:rPr>
          <w:lang w:val="en-GB" w:eastAsia="zh-CN"/>
        </w:rPr>
        <w:t>f we believe that the maximum reachable power can be deducted from the individual power class</w:t>
      </w:r>
      <w:r w:rsidR="001D1517">
        <w:rPr>
          <w:lang w:val="en-GB" w:eastAsia="zh-CN"/>
        </w:rPr>
        <w:t xml:space="preserve"> declared for each band</w:t>
      </w:r>
      <w:r>
        <w:rPr>
          <w:lang w:val="en-GB" w:eastAsia="zh-CN"/>
        </w:rPr>
        <w:t>,</w:t>
      </w:r>
      <w:r w:rsidR="00173AD8">
        <w:rPr>
          <w:lang w:val="en-GB" w:eastAsia="zh-CN"/>
        </w:rPr>
        <w:t xml:space="preserve"> the preceding constraint may create corner case</w:t>
      </w:r>
      <w:r>
        <w:rPr>
          <w:lang w:val="en-GB" w:eastAsia="zh-CN"/>
        </w:rPr>
        <w:t>s</w:t>
      </w:r>
      <w:r w:rsidR="00173AD8">
        <w:rPr>
          <w:lang w:val="en-GB" w:eastAsia="zh-CN"/>
        </w:rPr>
        <w:t xml:space="preserve"> where HPUE i</w:t>
      </w:r>
      <w:r>
        <w:rPr>
          <w:lang w:val="en-GB" w:eastAsia="zh-CN"/>
        </w:rPr>
        <w:t>s</w:t>
      </w:r>
      <w:r w:rsidR="00173AD8">
        <w:rPr>
          <w:lang w:val="en-GB" w:eastAsia="zh-CN"/>
        </w:rPr>
        <w:t xml:space="preserve"> declared in one band</w:t>
      </w:r>
      <w:r>
        <w:rPr>
          <w:lang w:val="en-GB" w:eastAsia="zh-CN"/>
        </w:rPr>
        <w:t xml:space="preserve"> and</w:t>
      </w:r>
      <w:r w:rsidR="00173AD8">
        <w:rPr>
          <w:lang w:val="en-GB" w:eastAsia="zh-CN"/>
        </w:rPr>
        <w:t xml:space="preserve"> uses TxD or MIMO</w:t>
      </w:r>
      <w:r>
        <w:rPr>
          <w:lang w:val="en-GB" w:eastAsia="zh-CN"/>
        </w:rPr>
        <w:t>. T</w:t>
      </w:r>
      <w:r w:rsidR="00173AD8">
        <w:rPr>
          <w:lang w:val="en-GB" w:eastAsia="zh-CN"/>
        </w:rPr>
        <w:t>hus</w:t>
      </w:r>
      <w:r>
        <w:rPr>
          <w:lang w:val="en-GB" w:eastAsia="zh-CN"/>
        </w:rPr>
        <w:t>,</w:t>
      </w:r>
      <w:r w:rsidR="00173AD8">
        <w:rPr>
          <w:lang w:val="en-GB" w:eastAsia="zh-CN"/>
        </w:rPr>
        <w:t xml:space="preserve"> </w:t>
      </w:r>
      <w:r>
        <w:rPr>
          <w:lang w:val="en-GB" w:eastAsia="zh-CN"/>
        </w:rPr>
        <w:t>The</w:t>
      </w:r>
      <w:r w:rsidR="00173AD8">
        <w:rPr>
          <w:lang w:val="en-GB" w:eastAsia="zh-CN"/>
        </w:rPr>
        <w:t xml:space="preserve"> second PA</w:t>
      </w:r>
      <w:r>
        <w:rPr>
          <w:lang w:val="en-GB" w:eastAsia="zh-CN"/>
        </w:rPr>
        <w:t xml:space="preserve"> shall not be used,</w:t>
      </w:r>
      <w:r w:rsidR="00873B6F">
        <w:rPr>
          <w:lang w:val="en-GB" w:eastAsia="zh-CN"/>
        </w:rPr>
        <w:t xml:space="preserve"> which leads to </w:t>
      </w:r>
      <w:r w:rsidR="0038584F">
        <w:rPr>
          <w:lang w:val="en-GB" w:eastAsia="zh-CN"/>
        </w:rPr>
        <w:t xml:space="preserve">a </w:t>
      </w:r>
      <w:r w:rsidR="00873B6F">
        <w:rPr>
          <w:lang w:val="en-GB" w:eastAsia="zh-CN"/>
        </w:rPr>
        <w:t>consider</w:t>
      </w:r>
      <w:r w:rsidR="0038584F">
        <w:rPr>
          <w:lang w:val="en-GB" w:eastAsia="zh-CN"/>
        </w:rPr>
        <w:t>ation of</w:t>
      </w:r>
      <w:r w:rsidR="00173AD8">
        <w:rPr>
          <w:lang w:val="en-GB" w:eastAsia="zh-CN"/>
        </w:rPr>
        <w:t xml:space="preserve"> two cases:</w:t>
      </w:r>
    </w:p>
    <w:p w14:paraId="11C492DB" w14:textId="403E6AB3" w:rsidR="00173AD8" w:rsidRDefault="00173AD8" w:rsidP="00F91A55">
      <w:pPr>
        <w:pStyle w:val="ListParagraph"/>
        <w:numPr>
          <w:ilvl w:val="0"/>
          <w:numId w:val="32"/>
        </w:numPr>
        <w:spacing w:after="0"/>
        <w:rPr>
          <w:lang w:val="en-GB" w:eastAsia="zh-CN"/>
        </w:rPr>
      </w:pPr>
      <w:r>
        <w:rPr>
          <w:lang w:val="en-GB" w:eastAsia="zh-CN"/>
        </w:rPr>
        <w:t>One band declare</w:t>
      </w:r>
      <w:r w:rsidR="001D1517">
        <w:rPr>
          <w:lang w:val="en-GB" w:eastAsia="zh-CN"/>
        </w:rPr>
        <w:t>s</w:t>
      </w:r>
      <w:r>
        <w:rPr>
          <w:lang w:val="en-GB" w:eastAsia="zh-CN"/>
        </w:rPr>
        <w:t xml:space="preserve"> PC2 with </w:t>
      </w:r>
      <w:r w:rsidRPr="001D1517">
        <w:rPr>
          <w:i/>
          <w:lang w:val="en-GB" w:eastAsia="zh-CN"/>
        </w:rPr>
        <w:t>TxD</w:t>
      </w:r>
      <w:r>
        <w:rPr>
          <w:lang w:val="en-GB" w:eastAsia="zh-CN"/>
        </w:rPr>
        <w:t xml:space="preserve"> (2x1/2 23+23 architecture)</w:t>
      </w:r>
      <w:r w:rsidR="0038584F">
        <w:rPr>
          <w:lang w:val="en-GB" w:eastAsia="zh-CN"/>
        </w:rPr>
        <w:t>,</w:t>
      </w:r>
      <w:r>
        <w:rPr>
          <w:lang w:val="en-GB" w:eastAsia="zh-CN"/>
        </w:rPr>
        <w:t xml:space="preserve"> and then </w:t>
      </w:r>
      <w:r w:rsidR="00231902">
        <w:rPr>
          <w:lang w:val="en-GB" w:eastAsia="zh-CN"/>
        </w:rPr>
        <w:t>the band</w:t>
      </w:r>
      <w:r>
        <w:rPr>
          <w:lang w:val="en-GB" w:eastAsia="zh-CN"/>
        </w:rPr>
        <w:t xml:space="preserve"> can only reach </w:t>
      </w:r>
      <w:r w:rsidR="001D1517">
        <w:rPr>
          <w:lang w:val="en-GB" w:eastAsia="zh-CN"/>
        </w:rPr>
        <w:t>23dBm</w:t>
      </w:r>
      <w:r w:rsidR="0038584F">
        <w:rPr>
          <w:lang w:val="en-GB" w:eastAsia="zh-CN"/>
        </w:rPr>
        <w:t xml:space="preserve"> since it only uses one PA</w:t>
      </w:r>
    </w:p>
    <w:p w14:paraId="2DDD2422" w14:textId="757D022C" w:rsidR="001D1517" w:rsidRDefault="001D1517" w:rsidP="00F91A55">
      <w:pPr>
        <w:pStyle w:val="ListParagraph"/>
        <w:numPr>
          <w:ilvl w:val="0"/>
          <w:numId w:val="32"/>
        </w:numPr>
        <w:spacing w:after="0"/>
        <w:rPr>
          <w:lang w:val="en-GB" w:eastAsia="zh-CN"/>
        </w:rPr>
      </w:pPr>
      <w:r>
        <w:rPr>
          <w:lang w:val="en-GB" w:eastAsia="zh-CN"/>
        </w:rPr>
        <w:t xml:space="preserve">One band declares PC2 without </w:t>
      </w:r>
      <w:r w:rsidRPr="001D1517">
        <w:rPr>
          <w:i/>
          <w:lang w:val="en-GB" w:eastAsia="zh-CN"/>
        </w:rPr>
        <w:t>TxD</w:t>
      </w:r>
      <w:r w:rsidR="0038584F">
        <w:rPr>
          <w:lang w:val="en-GB" w:eastAsia="zh-CN"/>
        </w:rPr>
        <w:t xml:space="preserve">, </w:t>
      </w:r>
      <w:r>
        <w:rPr>
          <w:lang w:val="en-GB" w:eastAsia="zh-CN"/>
        </w:rPr>
        <w:t>and at least one 26dBm PA is available</w:t>
      </w:r>
      <w:r w:rsidR="0038584F">
        <w:rPr>
          <w:lang w:val="en-GB" w:eastAsia="zh-CN"/>
        </w:rPr>
        <w:t>,</w:t>
      </w:r>
      <w:r>
        <w:rPr>
          <w:lang w:val="en-GB" w:eastAsia="zh-CN"/>
        </w:rPr>
        <w:t xml:space="preserve"> then </w:t>
      </w:r>
      <w:r w:rsidR="00231902">
        <w:rPr>
          <w:lang w:val="en-GB" w:eastAsia="zh-CN"/>
        </w:rPr>
        <w:t>the band</w:t>
      </w:r>
      <w:r>
        <w:rPr>
          <w:lang w:val="en-GB" w:eastAsia="zh-CN"/>
        </w:rPr>
        <w:t xml:space="preserve"> can reach 26dBm</w:t>
      </w:r>
    </w:p>
    <w:p w14:paraId="7350EAFA" w14:textId="77777777" w:rsidR="00873B6F" w:rsidRDefault="00873B6F" w:rsidP="00873B6F">
      <w:pPr>
        <w:spacing w:after="0"/>
        <w:rPr>
          <w:lang w:val="en-GB" w:eastAsia="zh-CN"/>
        </w:rPr>
      </w:pPr>
    </w:p>
    <w:p w14:paraId="56A0E9BF" w14:textId="57C957A8" w:rsidR="00873B6F" w:rsidRDefault="001278FA" w:rsidP="00873B6F">
      <w:pPr>
        <w:spacing w:after="0"/>
        <w:rPr>
          <w:lang w:val="en-GB" w:eastAsia="zh-CN"/>
        </w:rPr>
      </w:pPr>
      <w:r>
        <w:rPr>
          <w:lang w:val="en-GB" w:eastAsia="zh-CN"/>
        </w:rPr>
        <w:t xml:space="preserve">Table </w:t>
      </w:r>
      <w:r w:rsidR="008F1687">
        <w:rPr>
          <w:lang w:val="en-GB" w:eastAsia="zh-CN"/>
        </w:rPr>
        <w:t>1</w:t>
      </w:r>
      <w:r>
        <w:rPr>
          <w:lang w:val="en-GB" w:eastAsia="zh-CN"/>
        </w:rPr>
        <w:t xml:space="preserve"> provides the power sums for the different cases</w:t>
      </w:r>
      <w:r w:rsidR="00231902">
        <w:rPr>
          <w:lang w:val="en-GB" w:eastAsia="zh-CN"/>
        </w:rPr>
        <w:t xml:space="preserve"> that are</w:t>
      </w:r>
      <w:r w:rsidR="00C121A3">
        <w:rPr>
          <w:lang w:val="en-GB" w:eastAsia="zh-CN"/>
        </w:rPr>
        <w:t xml:space="preserve"> valid for PC2 intra-band cases</w:t>
      </w:r>
      <w:r w:rsidR="0038584F">
        <w:rPr>
          <w:lang w:val="en-GB" w:eastAsia="zh-CN"/>
        </w:rPr>
        <w:t>,</w:t>
      </w:r>
      <w:r w:rsidR="00C121A3">
        <w:rPr>
          <w:lang w:val="en-GB" w:eastAsia="zh-CN"/>
        </w:rPr>
        <w:t xml:space="preserve"> with or without increased power. It should be noted that if transmissions are limited to 2T</w:t>
      </w:r>
      <w:r w:rsidR="0038584F">
        <w:rPr>
          <w:lang w:val="en-GB" w:eastAsia="zh-CN"/>
        </w:rPr>
        <w:t>x</w:t>
      </w:r>
      <w:r w:rsidR="00C121A3">
        <w:rPr>
          <w:lang w:val="en-GB" w:eastAsia="zh-CN"/>
        </w:rPr>
        <w:t xml:space="preserve"> maximum</w:t>
      </w:r>
      <w:r w:rsidR="0038584F">
        <w:rPr>
          <w:lang w:val="en-GB" w:eastAsia="zh-CN"/>
        </w:rPr>
        <w:t>,</w:t>
      </w:r>
      <w:r w:rsidR="00C121A3">
        <w:rPr>
          <w:lang w:val="en-GB" w:eastAsia="zh-CN"/>
        </w:rPr>
        <w:t xml:space="preserve"> </w:t>
      </w:r>
      <w:r w:rsidR="0038584F">
        <w:rPr>
          <w:lang w:val="en-GB" w:eastAsia="zh-CN"/>
        </w:rPr>
        <w:t>such as that</w:t>
      </w:r>
      <w:r w:rsidR="00C121A3">
        <w:rPr>
          <w:lang w:val="en-GB" w:eastAsia="zh-CN"/>
        </w:rPr>
        <w:t xml:space="preserve"> agreed</w:t>
      </w:r>
      <w:r w:rsidR="0038584F">
        <w:rPr>
          <w:lang w:val="en-GB" w:eastAsia="zh-CN"/>
        </w:rPr>
        <w:t xml:space="preserve"> to</w:t>
      </w:r>
      <w:r w:rsidR="00C121A3">
        <w:rPr>
          <w:lang w:val="en-GB" w:eastAsia="zh-CN"/>
        </w:rPr>
        <w:t xml:space="preserve"> in release 17, there is no case that exceeds 29dBm</w:t>
      </w:r>
      <w:r w:rsidR="0038584F">
        <w:rPr>
          <w:lang w:val="en-GB" w:eastAsia="zh-CN"/>
        </w:rPr>
        <w:t xml:space="preserve"> (</w:t>
      </w:r>
      <w:r w:rsidR="00C121A3">
        <w:rPr>
          <w:lang w:val="en-GB" w:eastAsia="zh-CN"/>
        </w:rPr>
        <w:t>+2dB</w:t>
      </w:r>
      <w:r w:rsidR="0038584F">
        <w:rPr>
          <w:lang w:val="en-GB" w:eastAsia="zh-CN"/>
        </w:rPr>
        <w:t xml:space="preserve"> for top of range)</w:t>
      </w:r>
      <w:r>
        <w:rPr>
          <w:lang w:val="en-GB" w:eastAsia="zh-CN"/>
        </w:rPr>
        <w:t>.</w:t>
      </w:r>
    </w:p>
    <w:p w14:paraId="3DBE9BE9" w14:textId="66556855" w:rsidR="00A871A6" w:rsidRDefault="00A871A6" w:rsidP="00DB4E38">
      <w:pPr>
        <w:pStyle w:val="Caption"/>
        <w:keepNext/>
        <w:jc w:val="center"/>
      </w:pPr>
      <w:r>
        <w:t xml:space="preserve">Table </w:t>
      </w:r>
      <w:fldSimple w:instr=" SEQ Table \* ARABIC ">
        <w:r w:rsidR="008F1687">
          <w:rPr>
            <w:noProof/>
          </w:rPr>
          <w:t>1</w:t>
        </w:r>
      </w:fldSimple>
      <w:r w:rsidR="00DB4E38">
        <w:t>: Per band power configurations for PC2 inter-band combinations with associated maximum reachable power</w:t>
      </w:r>
    </w:p>
    <w:p w14:paraId="4C0B432F" w14:textId="5B2D34C3" w:rsidR="00A871A6" w:rsidRDefault="00B50031" w:rsidP="00DB4E38">
      <w:pPr>
        <w:spacing w:after="0"/>
        <w:rPr>
          <w:lang w:val="en-GB" w:eastAsia="zh-CN"/>
        </w:rPr>
      </w:pPr>
      <w:r w:rsidRPr="00B50031">
        <w:rPr>
          <w:noProof/>
        </w:rPr>
        <w:drawing>
          <wp:inline distT="0" distB="0" distL="0" distR="0" wp14:anchorId="23ECB6A3" wp14:editId="6D964C85">
            <wp:extent cx="6646545" cy="2418076"/>
            <wp:effectExtent l="0" t="0" r="190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6545" cy="2418076"/>
                    </a:xfrm>
                    <a:prstGeom prst="rect">
                      <a:avLst/>
                    </a:prstGeom>
                    <a:noFill/>
                    <a:ln>
                      <a:noFill/>
                    </a:ln>
                  </pic:spPr>
                </pic:pic>
              </a:graphicData>
            </a:graphic>
          </wp:inline>
        </w:drawing>
      </w:r>
    </w:p>
    <w:p w14:paraId="671D4940" w14:textId="77777777" w:rsidR="00A871A6" w:rsidRPr="00173AD8" w:rsidRDefault="00A871A6" w:rsidP="00173AD8">
      <w:pPr>
        <w:spacing w:after="0"/>
        <w:rPr>
          <w:lang w:val="en-GB" w:eastAsia="zh-CN"/>
        </w:rPr>
      </w:pPr>
    </w:p>
    <w:p w14:paraId="44210B31" w14:textId="264F78A6" w:rsidR="00173AD8" w:rsidRPr="001D1517" w:rsidRDefault="001D1517" w:rsidP="00173AD8">
      <w:pPr>
        <w:spacing w:after="0"/>
        <w:rPr>
          <w:b/>
          <w:lang w:eastAsia="zh-CN"/>
        </w:rPr>
      </w:pPr>
      <w:r w:rsidRPr="001D1517">
        <w:rPr>
          <w:b/>
          <w:lang w:val="en-GB" w:eastAsia="zh-CN"/>
        </w:rPr>
        <w:t xml:space="preserve">Proposal for increased power for PC2 </w:t>
      </w:r>
      <w:r w:rsidRPr="001D1517">
        <w:rPr>
          <w:b/>
          <w:lang w:eastAsia="zh-CN"/>
        </w:rPr>
        <w:t xml:space="preserve">inter-band UL </w:t>
      </w:r>
      <w:r w:rsidR="00873B6F">
        <w:rPr>
          <w:b/>
          <w:lang w:eastAsia="zh-CN"/>
        </w:rPr>
        <w:t>combinations</w:t>
      </w:r>
      <w:r w:rsidR="0038584F">
        <w:rPr>
          <w:b/>
          <w:lang w:eastAsia="zh-CN"/>
        </w:rPr>
        <w:t>:</w:t>
      </w:r>
      <w:r w:rsidR="00873B6F">
        <w:rPr>
          <w:b/>
          <w:lang w:eastAsia="zh-CN"/>
        </w:rPr>
        <w:t xml:space="preserve"> </w:t>
      </w:r>
    </w:p>
    <w:p w14:paraId="5F187C24" w14:textId="39B3EA09" w:rsidR="00873B6F" w:rsidRDefault="00873B6F" w:rsidP="00F91A55">
      <w:pPr>
        <w:pStyle w:val="ListParagraph"/>
        <w:numPr>
          <w:ilvl w:val="0"/>
          <w:numId w:val="33"/>
        </w:numPr>
        <w:spacing w:after="0"/>
        <w:rPr>
          <w:b/>
          <w:lang w:val="en-GB" w:eastAsia="zh-CN"/>
        </w:rPr>
      </w:pPr>
      <w:r>
        <w:rPr>
          <w:b/>
          <w:lang w:eastAsia="zh-CN"/>
        </w:rPr>
        <w:t>For dual UL cases</w:t>
      </w:r>
      <w:r>
        <w:rPr>
          <w:b/>
          <w:lang w:val="en-GB" w:eastAsia="zh-CN"/>
        </w:rPr>
        <w:t>, the m</w:t>
      </w:r>
      <w:r w:rsidR="001D1517" w:rsidRPr="001D1517">
        <w:rPr>
          <w:b/>
          <w:lang w:val="en-GB" w:eastAsia="zh-CN"/>
        </w:rPr>
        <w:t>aximum power limit for PC2 intra-band</w:t>
      </w:r>
      <w:r w:rsidR="0038584F">
        <w:rPr>
          <w:b/>
          <w:lang w:val="en-GB" w:eastAsia="zh-CN"/>
        </w:rPr>
        <w:t xml:space="preserve"> CA</w:t>
      </w:r>
      <w:r w:rsidR="001D1517" w:rsidRPr="001D1517">
        <w:rPr>
          <w:b/>
          <w:lang w:val="en-GB" w:eastAsia="zh-CN"/>
        </w:rPr>
        <w:t xml:space="preserve"> MOP range </w:t>
      </w:r>
      <w:r w:rsidR="001D1517">
        <w:rPr>
          <w:b/>
          <w:lang w:val="en-GB" w:eastAsia="zh-CN"/>
        </w:rPr>
        <w:t xml:space="preserve">uses the power sum of the declared per band power class </w:t>
      </w:r>
      <w:r w:rsidR="006861A7">
        <w:rPr>
          <w:b/>
          <w:lang w:val="en-GB" w:eastAsia="zh-CN"/>
        </w:rPr>
        <w:t>with the following consideration on TxD signaling</w:t>
      </w:r>
      <w:r w:rsidR="0038584F">
        <w:rPr>
          <w:b/>
          <w:lang w:val="en-GB" w:eastAsia="zh-CN"/>
        </w:rPr>
        <w:t>:</w:t>
      </w:r>
    </w:p>
    <w:p w14:paraId="503F29FD" w14:textId="5D490ABA" w:rsidR="001D1517" w:rsidRDefault="00873B6F" w:rsidP="00F91A55">
      <w:pPr>
        <w:pStyle w:val="ListParagraph"/>
        <w:numPr>
          <w:ilvl w:val="1"/>
          <w:numId w:val="33"/>
        </w:numPr>
        <w:spacing w:after="0"/>
        <w:rPr>
          <w:b/>
          <w:lang w:val="en-GB" w:eastAsia="zh-CN"/>
        </w:rPr>
      </w:pPr>
      <w:r>
        <w:rPr>
          <w:b/>
          <w:lang w:val="en-GB" w:eastAsia="zh-CN"/>
        </w:rPr>
        <w:t>I</w:t>
      </w:r>
      <w:r w:rsidR="001D1517">
        <w:rPr>
          <w:b/>
          <w:lang w:val="en-GB" w:eastAsia="zh-CN"/>
        </w:rPr>
        <w:t xml:space="preserve">f a band declares PC2 and signals </w:t>
      </w:r>
      <w:r w:rsidR="001D1517" w:rsidRPr="001D1517">
        <w:rPr>
          <w:b/>
          <w:i/>
          <w:lang w:val="en-GB" w:eastAsia="zh-CN"/>
        </w:rPr>
        <w:t>TxD</w:t>
      </w:r>
      <w:r w:rsidR="00231902" w:rsidRPr="00231902">
        <w:rPr>
          <w:b/>
          <w:lang w:val="en-GB" w:eastAsia="zh-CN"/>
        </w:rPr>
        <w:t>, then</w:t>
      </w:r>
      <w:r w:rsidR="001D1517">
        <w:rPr>
          <w:b/>
          <w:lang w:val="en-GB" w:eastAsia="zh-CN"/>
        </w:rPr>
        <w:t xml:space="preserve"> the power sum shall assume PC3</w:t>
      </w:r>
      <w:r>
        <w:rPr>
          <w:b/>
          <w:lang w:val="en-GB" w:eastAsia="zh-CN"/>
        </w:rPr>
        <w:t xml:space="preserve"> for this band and only one PA is used</w:t>
      </w:r>
    </w:p>
    <w:p w14:paraId="58BB366D" w14:textId="6234A3AB" w:rsidR="00873B6F" w:rsidRPr="00873B6F" w:rsidRDefault="00873B6F" w:rsidP="00F91A55">
      <w:pPr>
        <w:pStyle w:val="ListParagraph"/>
        <w:numPr>
          <w:ilvl w:val="1"/>
          <w:numId w:val="33"/>
        </w:numPr>
        <w:spacing w:after="0"/>
        <w:rPr>
          <w:b/>
          <w:lang w:val="en-GB" w:eastAsia="zh-CN"/>
        </w:rPr>
      </w:pPr>
      <w:r>
        <w:rPr>
          <w:b/>
          <w:lang w:val="en-GB" w:eastAsia="zh-CN"/>
        </w:rPr>
        <w:t xml:space="preserve">If a band declares PC2 without signaling </w:t>
      </w:r>
      <w:r w:rsidRPr="001D1517">
        <w:rPr>
          <w:b/>
          <w:i/>
          <w:lang w:val="en-GB" w:eastAsia="zh-CN"/>
        </w:rPr>
        <w:t>TxD</w:t>
      </w:r>
      <w:r w:rsidR="00231902" w:rsidRPr="00231902">
        <w:rPr>
          <w:b/>
          <w:lang w:val="en-GB" w:eastAsia="zh-CN"/>
        </w:rPr>
        <w:t>, then</w:t>
      </w:r>
      <w:r>
        <w:rPr>
          <w:b/>
          <w:lang w:val="en-GB" w:eastAsia="zh-CN"/>
        </w:rPr>
        <w:t xml:space="preserve"> the power sum shall assume PC2 for this band</w:t>
      </w:r>
      <w:r w:rsidRPr="00873B6F">
        <w:rPr>
          <w:b/>
          <w:lang w:val="en-GB" w:eastAsia="zh-CN"/>
        </w:rPr>
        <w:t xml:space="preserve"> </w:t>
      </w:r>
      <w:r>
        <w:rPr>
          <w:b/>
          <w:lang w:val="en-GB" w:eastAsia="zh-CN"/>
        </w:rPr>
        <w:t>and only one PA is used</w:t>
      </w:r>
    </w:p>
    <w:p w14:paraId="54C1E883" w14:textId="29F544D2" w:rsidR="00873B6F" w:rsidRDefault="00873B6F" w:rsidP="00F91A55">
      <w:pPr>
        <w:pStyle w:val="ListParagraph"/>
        <w:numPr>
          <w:ilvl w:val="1"/>
          <w:numId w:val="33"/>
        </w:numPr>
        <w:spacing w:after="0"/>
        <w:rPr>
          <w:b/>
          <w:lang w:val="en-GB" w:eastAsia="zh-CN"/>
        </w:rPr>
      </w:pPr>
      <w:r>
        <w:rPr>
          <w:b/>
          <w:lang w:val="en-GB" w:eastAsia="zh-CN"/>
        </w:rPr>
        <w:lastRenderedPageBreak/>
        <w:t>If a band declares PC1.5, only 1Tx is used</w:t>
      </w:r>
      <w:r w:rsidR="00231902">
        <w:rPr>
          <w:b/>
          <w:lang w:val="en-GB" w:eastAsia="zh-CN"/>
        </w:rPr>
        <w:t>,</w:t>
      </w:r>
      <w:r>
        <w:rPr>
          <w:b/>
          <w:lang w:val="en-GB" w:eastAsia="zh-CN"/>
        </w:rPr>
        <w:t xml:space="preserve"> and </w:t>
      </w:r>
      <w:r w:rsidR="00231902">
        <w:rPr>
          <w:b/>
          <w:lang w:val="en-GB" w:eastAsia="zh-CN"/>
        </w:rPr>
        <w:t xml:space="preserve">the </w:t>
      </w:r>
      <w:r>
        <w:rPr>
          <w:b/>
          <w:lang w:val="en-GB" w:eastAsia="zh-CN"/>
        </w:rPr>
        <w:t>power sum shall assume PC2 for this band</w:t>
      </w:r>
    </w:p>
    <w:p w14:paraId="3E7E8164" w14:textId="6A69D1B6" w:rsidR="00873B6F" w:rsidRDefault="00873B6F" w:rsidP="00F91A55">
      <w:pPr>
        <w:pStyle w:val="ListParagraph"/>
        <w:numPr>
          <w:ilvl w:val="0"/>
          <w:numId w:val="33"/>
        </w:numPr>
        <w:spacing w:after="0"/>
        <w:rPr>
          <w:b/>
          <w:lang w:val="en-GB" w:eastAsia="zh-CN"/>
        </w:rPr>
      </w:pPr>
      <w:r>
        <w:rPr>
          <w:b/>
          <w:lang w:val="en-GB" w:eastAsia="zh-CN"/>
        </w:rPr>
        <w:t>For single UL cases</w:t>
      </w:r>
      <w:r w:rsidR="0038584F">
        <w:rPr>
          <w:b/>
          <w:lang w:val="en-GB" w:eastAsia="zh-CN"/>
        </w:rPr>
        <w:t>,</w:t>
      </w:r>
      <w:r>
        <w:rPr>
          <w:b/>
          <w:lang w:val="en-GB" w:eastAsia="zh-CN"/>
        </w:rPr>
        <w:t xml:space="preserve"> both PC2 and PC1.5 </w:t>
      </w:r>
      <w:r w:rsidR="0038584F">
        <w:rPr>
          <w:b/>
          <w:lang w:val="en-GB" w:eastAsia="zh-CN"/>
        </w:rPr>
        <w:t xml:space="preserve">in one band </w:t>
      </w:r>
      <w:r>
        <w:rPr>
          <w:b/>
          <w:lang w:val="en-GB" w:eastAsia="zh-CN"/>
        </w:rPr>
        <w:t>can be considered for PC2 inter-band combinations</w:t>
      </w:r>
      <w:r w:rsidR="00C121A3">
        <w:rPr>
          <w:b/>
          <w:lang w:val="en-GB" w:eastAsia="zh-CN"/>
        </w:rPr>
        <w:t xml:space="preserve"> with 2Tx</w:t>
      </w:r>
    </w:p>
    <w:p w14:paraId="766078ED" w14:textId="33CFDBB4" w:rsidR="00873B6F" w:rsidRDefault="00231902" w:rsidP="00F91A55">
      <w:pPr>
        <w:pStyle w:val="ListParagraph"/>
        <w:numPr>
          <w:ilvl w:val="0"/>
          <w:numId w:val="33"/>
        </w:numPr>
        <w:spacing w:after="0"/>
        <w:rPr>
          <w:b/>
          <w:lang w:val="en-GB" w:eastAsia="zh-CN"/>
        </w:rPr>
      </w:pPr>
      <w:r>
        <w:rPr>
          <w:b/>
          <w:lang w:val="en-GB" w:eastAsia="zh-CN"/>
        </w:rPr>
        <w:t>V</w:t>
      </w:r>
      <w:r w:rsidR="0038584F">
        <w:rPr>
          <w:b/>
          <w:lang w:val="en-GB" w:eastAsia="zh-CN"/>
        </w:rPr>
        <w:t>alid</w:t>
      </w:r>
      <w:r w:rsidR="00873B6F">
        <w:rPr>
          <w:b/>
          <w:lang w:val="en-GB" w:eastAsia="zh-CN"/>
        </w:rPr>
        <w:t xml:space="preserve"> PC2 intra-band combinations </w:t>
      </w:r>
      <w:r>
        <w:rPr>
          <w:b/>
          <w:lang w:val="en-GB" w:eastAsia="zh-CN"/>
        </w:rPr>
        <w:t xml:space="preserve">shall </w:t>
      </w:r>
      <w:r w:rsidR="00873B6F">
        <w:rPr>
          <w:b/>
          <w:lang w:val="en-GB" w:eastAsia="zh-CN"/>
        </w:rPr>
        <w:t>only the cases where the 2UL or 1UL power sum of upper</w:t>
      </w:r>
      <w:r w:rsidR="0038584F">
        <w:rPr>
          <w:b/>
          <w:lang w:val="en-GB" w:eastAsia="zh-CN"/>
        </w:rPr>
        <w:t xml:space="preserve"> limit</w:t>
      </w:r>
      <w:r w:rsidR="00873B6F">
        <w:rPr>
          <w:b/>
          <w:lang w:val="en-GB" w:eastAsia="zh-CN"/>
        </w:rPr>
        <w:t xml:space="preserve"> is less </w:t>
      </w:r>
      <w:r w:rsidR="0038584F">
        <w:rPr>
          <w:b/>
          <w:lang w:val="en-GB" w:eastAsia="zh-CN"/>
        </w:rPr>
        <w:t xml:space="preserve">than </w:t>
      </w:r>
      <w:r w:rsidR="00873B6F">
        <w:rPr>
          <w:b/>
          <w:lang w:val="en-GB" w:eastAsia="zh-CN"/>
        </w:rPr>
        <w:t>or equal to 29dBm +2dB</w:t>
      </w:r>
      <w:r w:rsidR="008A0A92">
        <w:rPr>
          <w:b/>
          <w:lang w:val="en-GB" w:eastAsia="zh-CN"/>
        </w:rPr>
        <w:t>,</w:t>
      </w:r>
      <w:r w:rsidR="00873B6F">
        <w:rPr>
          <w:b/>
          <w:lang w:val="en-GB" w:eastAsia="zh-CN"/>
        </w:rPr>
        <w:t xml:space="preserve"> after consideration of </w:t>
      </w:r>
      <w:r w:rsidR="00873B6F" w:rsidRPr="00231902">
        <w:rPr>
          <w:b/>
          <w:i/>
          <w:lang w:val="en-GB" w:eastAsia="zh-CN"/>
        </w:rPr>
        <w:t>TxD</w:t>
      </w:r>
      <w:r w:rsidR="00873B6F">
        <w:rPr>
          <w:b/>
          <w:lang w:val="en-GB" w:eastAsia="zh-CN"/>
        </w:rPr>
        <w:t xml:space="preserve"> and PC1.5 </w:t>
      </w:r>
      <w:r w:rsidR="00873B6F" w:rsidRPr="008A0A92">
        <w:rPr>
          <w:b/>
          <w:lang w:eastAsia="zh-CN"/>
        </w:rPr>
        <w:t>signaling</w:t>
      </w:r>
      <w:r w:rsidR="008A0A92">
        <w:rPr>
          <w:b/>
          <w:lang w:val="en-GB" w:eastAsia="zh-CN"/>
        </w:rPr>
        <w:t>.</w:t>
      </w:r>
    </w:p>
    <w:p w14:paraId="7BE54F94" w14:textId="77777777" w:rsidR="00305289" w:rsidRDefault="00305289" w:rsidP="00305289">
      <w:pPr>
        <w:pStyle w:val="Heading1"/>
      </w:pPr>
      <w:r>
        <w:t>Conclusions</w:t>
      </w:r>
    </w:p>
    <w:p w14:paraId="3C251E6A" w14:textId="75F4B446" w:rsidR="006E4FCE" w:rsidRDefault="00305289" w:rsidP="00FE650D">
      <w:pPr>
        <w:spacing w:after="0"/>
        <w:jc w:val="both"/>
      </w:pPr>
      <w:r>
        <w:t xml:space="preserve">In this contribution, </w:t>
      </w:r>
      <w:r w:rsidR="009B4F03">
        <w:t xml:space="preserve">we </w:t>
      </w:r>
      <w:r w:rsidR="00F90C82">
        <w:t>examine</w:t>
      </w:r>
      <w:r w:rsidR="00231902">
        <w:t>d</w:t>
      </w:r>
      <w:r w:rsidR="009B4F03">
        <w:t xml:space="preserve"> all </w:t>
      </w:r>
      <w:r w:rsidR="008F1687">
        <w:t xml:space="preserve">possible UL configurations for PC2 inter-band ULCA </w:t>
      </w:r>
      <w:r w:rsidR="00C121A3">
        <w:t>cases</w:t>
      </w:r>
      <w:r w:rsidR="00231902">
        <w:t>,</w:t>
      </w:r>
      <w:r w:rsidR="00C121A3">
        <w:t xml:space="preserve"> </w:t>
      </w:r>
      <w:r w:rsidR="008F1687">
        <w:t>and analyze</w:t>
      </w:r>
      <w:r w:rsidR="00231902">
        <w:t>d</w:t>
      </w:r>
      <w:r w:rsidR="008F1687">
        <w:t xml:space="preserve"> the cases where one of the bands uses a 2Tx PC2 or PC1.5 configuration</w:t>
      </w:r>
      <w:r w:rsidR="00C121A3">
        <w:t>.</w:t>
      </w:r>
      <w:r w:rsidR="00DB4E38">
        <w:t xml:space="preserve"> This enabled us to </w:t>
      </w:r>
      <w:r w:rsidR="00F90C82">
        <w:t>develop</w:t>
      </w:r>
      <w:r w:rsidR="00DB4E38">
        <w:t xml:space="preserve"> a proposal </w:t>
      </w:r>
      <w:r w:rsidR="00231902">
        <w:t xml:space="preserve">that specifies the feasibility of </w:t>
      </w:r>
      <w:r w:rsidR="008F1687">
        <w:t>increased power</w:t>
      </w:r>
      <w:r w:rsidR="00DB4E38">
        <w:t>.</w:t>
      </w:r>
    </w:p>
    <w:p w14:paraId="24CD051E" w14:textId="77777777" w:rsidR="00DB4E38" w:rsidRDefault="00DB4E38" w:rsidP="00FE650D">
      <w:pPr>
        <w:spacing w:after="0"/>
        <w:jc w:val="both"/>
      </w:pPr>
    </w:p>
    <w:p w14:paraId="7C2B4CF2" w14:textId="77777777" w:rsidR="00231902" w:rsidRPr="001D1517" w:rsidRDefault="00231902" w:rsidP="00231902">
      <w:pPr>
        <w:spacing w:after="0"/>
        <w:rPr>
          <w:b/>
          <w:lang w:eastAsia="zh-CN"/>
        </w:rPr>
      </w:pPr>
      <w:r w:rsidRPr="001D1517">
        <w:rPr>
          <w:b/>
          <w:lang w:val="en-GB" w:eastAsia="zh-CN"/>
        </w:rPr>
        <w:t xml:space="preserve">Proposal for increased power for PC2 </w:t>
      </w:r>
      <w:r w:rsidRPr="001D1517">
        <w:rPr>
          <w:b/>
          <w:lang w:eastAsia="zh-CN"/>
        </w:rPr>
        <w:t xml:space="preserve">inter-band UL </w:t>
      </w:r>
      <w:r>
        <w:rPr>
          <w:b/>
          <w:lang w:eastAsia="zh-CN"/>
        </w:rPr>
        <w:t xml:space="preserve">combinations: </w:t>
      </w:r>
    </w:p>
    <w:p w14:paraId="2433C897" w14:textId="77777777" w:rsidR="00231902" w:rsidRDefault="00231902" w:rsidP="00231902">
      <w:pPr>
        <w:pStyle w:val="ListParagraph"/>
        <w:numPr>
          <w:ilvl w:val="0"/>
          <w:numId w:val="33"/>
        </w:numPr>
        <w:spacing w:after="0"/>
        <w:rPr>
          <w:b/>
          <w:lang w:val="en-GB" w:eastAsia="zh-CN"/>
        </w:rPr>
      </w:pPr>
      <w:r>
        <w:rPr>
          <w:b/>
          <w:lang w:eastAsia="zh-CN"/>
        </w:rPr>
        <w:t>For dual UL cases</w:t>
      </w:r>
      <w:r>
        <w:rPr>
          <w:b/>
          <w:lang w:val="en-GB" w:eastAsia="zh-CN"/>
        </w:rPr>
        <w:t>, the m</w:t>
      </w:r>
      <w:r w:rsidRPr="001D1517">
        <w:rPr>
          <w:b/>
          <w:lang w:val="en-GB" w:eastAsia="zh-CN"/>
        </w:rPr>
        <w:t>aximum power limit for PC2 intra-band</w:t>
      </w:r>
      <w:r>
        <w:rPr>
          <w:b/>
          <w:lang w:val="en-GB" w:eastAsia="zh-CN"/>
        </w:rPr>
        <w:t xml:space="preserve"> CA</w:t>
      </w:r>
      <w:r w:rsidRPr="001D1517">
        <w:rPr>
          <w:b/>
          <w:lang w:val="en-GB" w:eastAsia="zh-CN"/>
        </w:rPr>
        <w:t xml:space="preserve"> MOP range </w:t>
      </w:r>
      <w:r>
        <w:rPr>
          <w:b/>
          <w:lang w:val="en-GB" w:eastAsia="zh-CN"/>
        </w:rPr>
        <w:t>uses the power sum of the declared per band power class with the following consideration on TxD signaling:</w:t>
      </w:r>
    </w:p>
    <w:p w14:paraId="71A31940" w14:textId="77777777" w:rsidR="00231902" w:rsidRDefault="00231902" w:rsidP="00231902">
      <w:pPr>
        <w:pStyle w:val="ListParagraph"/>
        <w:numPr>
          <w:ilvl w:val="1"/>
          <w:numId w:val="33"/>
        </w:numPr>
        <w:spacing w:after="0"/>
        <w:rPr>
          <w:b/>
          <w:lang w:val="en-GB" w:eastAsia="zh-CN"/>
        </w:rPr>
      </w:pPr>
      <w:r>
        <w:rPr>
          <w:b/>
          <w:lang w:val="en-GB" w:eastAsia="zh-CN"/>
        </w:rPr>
        <w:t xml:space="preserve">If a band declares PC2 and signals </w:t>
      </w:r>
      <w:r w:rsidRPr="001D1517">
        <w:rPr>
          <w:b/>
          <w:i/>
          <w:lang w:val="en-GB" w:eastAsia="zh-CN"/>
        </w:rPr>
        <w:t>TxD</w:t>
      </w:r>
      <w:r w:rsidRPr="00231902">
        <w:rPr>
          <w:b/>
          <w:lang w:val="en-GB" w:eastAsia="zh-CN"/>
        </w:rPr>
        <w:t>, then</w:t>
      </w:r>
      <w:r>
        <w:rPr>
          <w:b/>
          <w:lang w:val="en-GB" w:eastAsia="zh-CN"/>
        </w:rPr>
        <w:t xml:space="preserve"> the power sum shall assume PC3 for this band and only one PA is used</w:t>
      </w:r>
    </w:p>
    <w:p w14:paraId="190CA8A2" w14:textId="77777777" w:rsidR="00231902" w:rsidRPr="00873B6F" w:rsidRDefault="00231902" w:rsidP="00231902">
      <w:pPr>
        <w:pStyle w:val="ListParagraph"/>
        <w:numPr>
          <w:ilvl w:val="1"/>
          <w:numId w:val="33"/>
        </w:numPr>
        <w:spacing w:after="0"/>
        <w:rPr>
          <w:b/>
          <w:lang w:val="en-GB" w:eastAsia="zh-CN"/>
        </w:rPr>
      </w:pPr>
      <w:r>
        <w:rPr>
          <w:b/>
          <w:lang w:val="en-GB" w:eastAsia="zh-CN"/>
        </w:rPr>
        <w:t xml:space="preserve">If a band declares PC2 without signaling </w:t>
      </w:r>
      <w:r w:rsidRPr="001D1517">
        <w:rPr>
          <w:b/>
          <w:i/>
          <w:lang w:val="en-GB" w:eastAsia="zh-CN"/>
        </w:rPr>
        <w:t>TxD</w:t>
      </w:r>
      <w:r w:rsidRPr="00231902">
        <w:rPr>
          <w:b/>
          <w:lang w:val="en-GB" w:eastAsia="zh-CN"/>
        </w:rPr>
        <w:t>, then</w:t>
      </w:r>
      <w:r>
        <w:rPr>
          <w:b/>
          <w:lang w:val="en-GB" w:eastAsia="zh-CN"/>
        </w:rPr>
        <w:t xml:space="preserve"> the power sum shall assume PC2 for this band</w:t>
      </w:r>
      <w:r w:rsidRPr="00873B6F">
        <w:rPr>
          <w:b/>
          <w:lang w:val="en-GB" w:eastAsia="zh-CN"/>
        </w:rPr>
        <w:t xml:space="preserve"> </w:t>
      </w:r>
      <w:r>
        <w:rPr>
          <w:b/>
          <w:lang w:val="en-GB" w:eastAsia="zh-CN"/>
        </w:rPr>
        <w:t>and only one PA is used</w:t>
      </w:r>
    </w:p>
    <w:p w14:paraId="15AE1669" w14:textId="77777777" w:rsidR="00231902" w:rsidRDefault="00231902" w:rsidP="00231902">
      <w:pPr>
        <w:pStyle w:val="ListParagraph"/>
        <w:numPr>
          <w:ilvl w:val="1"/>
          <w:numId w:val="33"/>
        </w:numPr>
        <w:spacing w:after="0"/>
        <w:rPr>
          <w:b/>
          <w:lang w:val="en-GB" w:eastAsia="zh-CN"/>
        </w:rPr>
      </w:pPr>
      <w:r>
        <w:rPr>
          <w:b/>
          <w:lang w:val="en-GB" w:eastAsia="zh-CN"/>
        </w:rPr>
        <w:t>If a band declares PC1.5, only 1Tx is used, and the power sum shall assume PC2 for this band</w:t>
      </w:r>
    </w:p>
    <w:p w14:paraId="529E7F87" w14:textId="77777777" w:rsidR="00231902" w:rsidRDefault="00231902" w:rsidP="00231902">
      <w:pPr>
        <w:pStyle w:val="ListParagraph"/>
        <w:numPr>
          <w:ilvl w:val="0"/>
          <w:numId w:val="33"/>
        </w:numPr>
        <w:spacing w:after="0"/>
        <w:rPr>
          <w:b/>
          <w:lang w:val="en-GB" w:eastAsia="zh-CN"/>
        </w:rPr>
      </w:pPr>
      <w:r>
        <w:rPr>
          <w:b/>
          <w:lang w:val="en-GB" w:eastAsia="zh-CN"/>
        </w:rPr>
        <w:t>For single UL cases, both PC2 and PC1.5 in one band can be considered for PC2 inter-band combinations with 2Tx</w:t>
      </w:r>
    </w:p>
    <w:p w14:paraId="258F3F87" w14:textId="77777777" w:rsidR="00231902" w:rsidRDefault="00231902" w:rsidP="00231902">
      <w:pPr>
        <w:pStyle w:val="ListParagraph"/>
        <w:numPr>
          <w:ilvl w:val="0"/>
          <w:numId w:val="33"/>
        </w:numPr>
        <w:spacing w:after="0"/>
        <w:rPr>
          <w:b/>
          <w:lang w:val="en-GB" w:eastAsia="zh-CN"/>
        </w:rPr>
      </w:pPr>
      <w:r>
        <w:rPr>
          <w:b/>
          <w:lang w:val="en-GB" w:eastAsia="zh-CN"/>
        </w:rPr>
        <w:t xml:space="preserve">Valid PC2 intra-band combinations shall only the cases where the 2UL or 1UL power sum of upper limit is less than or equal to 29dBm +2dB, after consideration of </w:t>
      </w:r>
      <w:r w:rsidRPr="00231902">
        <w:rPr>
          <w:b/>
          <w:i/>
          <w:lang w:val="en-GB" w:eastAsia="zh-CN"/>
        </w:rPr>
        <w:t>TxD</w:t>
      </w:r>
      <w:r>
        <w:rPr>
          <w:b/>
          <w:lang w:val="en-GB" w:eastAsia="zh-CN"/>
        </w:rPr>
        <w:t xml:space="preserve"> and PC1.5 </w:t>
      </w:r>
      <w:r w:rsidRPr="008A0A92">
        <w:rPr>
          <w:b/>
          <w:lang w:eastAsia="zh-CN"/>
        </w:rPr>
        <w:t>signaling</w:t>
      </w:r>
      <w:r>
        <w:rPr>
          <w:b/>
          <w:lang w:val="en-GB" w:eastAsia="zh-CN"/>
        </w:rPr>
        <w:t>.</w:t>
      </w:r>
    </w:p>
    <w:p w14:paraId="03D6921F" w14:textId="77777777" w:rsidR="00F10F97" w:rsidRDefault="007321E3" w:rsidP="00C8525F">
      <w:pPr>
        <w:pStyle w:val="Heading1"/>
        <w:numPr>
          <w:ilvl w:val="0"/>
          <w:numId w:val="0"/>
        </w:numPr>
        <w:jc w:val="both"/>
      </w:pPr>
      <w:r>
        <w:t>R</w:t>
      </w:r>
      <w:r w:rsidR="00F10F97">
        <w:t>eferences</w:t>
      </w:r>
    </w:p>
    <w:p w14:paraId="14CCE1C1" w14:textId="3270644C" w:rsidR="00842311" w:rsidRPr="008F1687" w:rsidRDefault="00842311" w:rsidP="00F91A55">
      <w:pPr>
        <w:pStyle w:val="ListParagraph"/>
        <w:widowControl w:val="0"/>
        <w:numPr>
          <w:ilvl w:val="0"/>
          <w:numId w:val="11"/>
        </w:numPr>
        <w:snapToGrid w:val="0"/>
      </w:pPr>
      <w:r w:rsidRPr="00842311">
        <w:t>R4-2120064</w:t>
      </w:r>
      <w:r>
        <w:t xml:space="preserve"> </w:t>
      </w:r>
      <w:r w:rsidRPr="00842311">
        <w:t>WF on increasing MOP for CA/DC</w:t>
      </w:r>
      <w:r>
        <w:rPr>
          <w:lang w:val="en-GB" w:eastAsia="zh-CN"/>
        </w:rPr>
        <w:t xml:space="preserve">, </w:t>
      </w:r>
      <w:r w:rsidRPr="004D3754">
        <w:rPr>
          <w:lang w:val="en-GB" w:eastAsia="zh-CN"/>
        </w:rPr>
        <w:t>Qualcomm Incorporated</w:t>
      </w:r>
      <w:r>
        <w:rPr>
          <w:lang w:val="en-GB" w:eastAsia="zh-CN"/>
        </w:rPr>
        <w:t>,</w:t>
      </w:r>
      <w:r w:rsidRPr="004D3754">
        <w:rPr>
          <w:lang w:val="en-GB" w:eastAsia="zh-CN"/>
        </w:rPr>
        <w:t xml:space="preserve"> </w:t>
      </w:r>
      <w:r>
        <w:rPr>
          <w:lang w:val="en-GB" w:eastAsia="zh-CN"/>
        </w:rPr>
        <w:t>RAN4#101e</w:t>
      </w:r>
    </w:p>
    <w:p w14:paraId="201CB72C" w14:textId="7B0A0068" w:rsidR="008F1687" w:rsidRPr="00A4042B" w:rsidRDefault="008F1687" w:rsidP="008F1687">
      <w:pPr>
        <w:pStyle w:val="ListParagraph"/>
        <w:widowControl w:val="0"/>
        <w:numPr>
          <w:ilvl w:val="0"/>
          <w:numId w:val="11"/>
        </w:numPr>
        <w:snapToGrid w:val="0"/>
      </w:pPr>
      <w:r w:rsidRPr="008F1687">
        <w:t>R4-2119441 Handling of maximum output power limit for PC2 inter-band combinations</w:t>
      </w:r>
      <w:r>
        <w:t xml:space="preserve">, </w:t>
      </w:r>
      <w:r w:rsidRPr="00F87AB1">
        <w:t>Skyworks Solutions Inc.</w:t>
      </w:r>
      <w:r>
        <w:t>, RAN4#101-e</w:t>
      </w:r>
    </w:p>
    <w:p w14:paraId="289E591D" w14:textId="10E9CEA3" w:rsidR="00D70703" w:rsidRDefault="008056C0" w:rsidP="008056C0">
      <w:pPr>
        <w:pStyle w:val="ListParagraph"/>
        <w:widowControl w:val="0"/>
        <w:numPr>
          <w:ilvl w:val="0"/>
          <w:numId w:val="11"/>
        </w:numPr>
        <w:snapToGrid w:val="0"/>
      </w:pPr>
      <w:r w:rsidRPr="005E5B05">
        <w:rPr>
          <w:lang w:val="en-GB" w:eastAsia="zh-CN"/>
        </w:rPr>
        <w:t>R4-2200499</w:t>
      </w:r>
      <w:r>
        <w:rPr>
          <w:lang w:val="en-GB" w:eastAsia="zh-CN"/>
        </w:rPr>
        <w:t xml:space="preserve"> </w:t>
      </w:r>
      <w:r w:rsidRPr="005E5B05">
        <w:rPr>
          <w:rFonts w:cs="Arial"/>
          <w:sz w:val="22"/>
        </w:rPr>
        <w:t>Requirement and signaling aspect of features requiring two transmit paths</w:t>
      </w:r>
      <w:r>
        <w:t xml:space="preserve">, </w:t>
      </w:r>
      <w:r w:rsidRPr="00F87AB1">
        <w:t>Skyworks Solutions Inc.</w:t>
      </w:r>
      <w:r>
        <w:t>, RAN4#101b-e</w:t>
      </w:r>
      <w:bookmarkStart w:id="2" w:name="_GoBack"/>
      <w:bookmarkEnd w:id="2"/>
    </w:p>
    <w:sectPr w:rsidR="00D70703"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0F7D37" w14:textId="77777777" w:rsidR="00601174" w:rsidRDefault="00601174">
      <w:r>
        <w:separator/>
      </w:r>
    </w:p>
  </w:endnote>
  <w:endnote w:type="continuationSeparator" w:id="0">
    <w:p w14:paraId="7C56251E" w14:textId="77777777" w:rsidR="00601174" w:rsidRDefault="0060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B01CD" w14:textId="77777777" w:rsidR="00601174" w:rsidRDefault="00601174">
      <w:r>
        <w:separator/>
      </w:r>
    </w:p>
  </w:footnote>
  <w:footnote w:type="continuationSeparator" w:id="0">
    <w:p w14:paraId="34DE68B8" w14:textId="77777777" w:rsidR="00601174" w:rsidRDefault="006011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471"/>
    <w:multiLevelType w:val="hybridMultilevel"/>
    <w:tmpl w:val="BD28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38A4BCC"/>
    <w:multiLevelType w:val="hybridMultilevel"/>
    <w:tmpl w:val="33A49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D3C474C"/>
    <w:multiLevelType w:val="hybridMultilevel"/>
    <w:tmpl w:val="E7E61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C2FE6"/>
    <w:multiLevelType w:val="hybridMultilevel"/>
    <w:tmpl w:val="AFC8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6F53568"/>
    <w:multiLevelType w:val="hybridMultilevel"/>
    <w:tmpl w:val="31AE3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7D0EA3"/>
    <w:multiLevelType w:val="hybridMultilevel"/>
    <w:tmpl w:val="82662C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7C440CD"/>
    <w:multiLevelType w:val="hybridMultilevel"/>
    <w:tmpl w:val="4FB6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0A2291"/>
    <w:multiLevelType w:val="hybridMultilevel"/>
    <w:tmpl w:val="23F0F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BD48FB"/>
    <w:multiLevelType w:val="hybridMultilevel"/>
    <w:tmpl w:val="12C46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C4D45D5"/>
    <w:multiLevelType w:val="hybridMultilevel"/>
    <w:tmpl w:val="79D42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nsid w:val="35472471"/>
    <w:multiLevelType w:val="hybridMultilevel"/>
    <w:tmpl w:val="5C28C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330608"/>
    <w:multiLevelType w:val="hybridMultilevel"/>
    <w:tmpl w:val="22D6C76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FDC2643"/>
    <w:multiLevelType w:val="hybridMultilevel"/>
    <w:tmpl w:val="34DC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790"/>
        </w:tabs>
        <w:ind w:left="27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47F13704"/>
    <w:multiLevelType w:val="hybridMultilevel"/>
    <w:tmpl w:val="A5CE5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18240C"/>
    <w:multiLevelType w:val="hybridMultilevel"/>
    <w:tmpl w:val="B0369C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390B7D"/>
    <w:multiLevelType w:val="hybridMultilevel"/>
    <w:tmpl w:val="E044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FC7038"/>
    <w:multiLevelType w:val="hybridMultilevel"/>
    <w:tmpl w:val="D14E2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0F3155F"/>
    <w:multiLevelType w:val="hybridMultilevel"/>
    <w:tmpl w:val="21842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D57F56"/>
    <w:multiLevelType w:val="hybridMultilevel"/>
    <w:tmpl w:val="D8D4E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114DC5"/>
    <w:multiLevelType w:val="hybridMultilevel"/>
    <w:tmpl w:val="788C1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679021F"/>
    <w:multiLevelType w:val="hybridMultilevel"/>
    <w:tmpl w:val="136A4A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B347721"/>
    <w:multiLevelType w:val="hybridMultilevel"/>
    <w:tmpl w:val="1780D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1C31064"/>
    <w:multiLevelType w:val="hybridMultilevel"/>
    <w:tmpl w:val="23D4F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9"/>
  </w:num>
  <w:num w:numId="4">
    <w:abstractNumId w:val="33"/>
  </w:num>
  <w:num w:numId="5">
    <w:abstractNumId w:val="14"/>
  </w:num>
  <w:num w:numId="6">
    <w:abstractNumId w:val="2"/>
  </w:num>
  <w:num w:numId="7">
    <w:abstractNumId w:val="20"/>
  </w:num>
  <w:num w:numId="8">
    <w:abstractNumId w:val="30"/>
  </w:num>
  <w:num w:numId="9">
    <w:abstractNumId w:val="32"/>
  </w:num>
  <w:num w:numId="10">
    <w:abstractNumId w:val="1"/>
  </w:num>
  <w:num w:numId="11">
    <w:abstractNumId w:val="7"/>
  </w:num>
  <w:num w:numId="12">
    <w:abstractNumId w:val="25"/>
  </w:num>
  <w:num w:numId="13">
    <w:abstractNumId w:val="0"/>
  </w:num>
  <w:num w:numId="14">
    <w:abstractNumId w:val="3"/>
  </w:num>
  <w:num w:numId="15">
    <w:abstractNumId w:val="23"/>
  </w:num>
  <w:num w:numId="16">
    <w:abstractNumId w:val="29"/>
  </w:num>
  <w:num w:numId="17">
    <w:abstractNumId w:val="16"/>
  </w:num>
  <w:num w:numId="18">
    <w:abstractNumId w:val="12"/>
  </w:num>
  <w:num w:numId="19">
    <w:abstractNumId w:val="24"/>
  </w:num>
  <w:num w:numId="20">
    <w:abstractNumId w:val="9"/>
  </w:num>
  <w:num w:numId="21">
    <w:abstractNumId w:val="27"/>
  </w:num>
  <w:num w:numId="22">
    <w:abstractNumId w:val="22"/>
  </w:num>
  <w:num w:numId="23">
    <w:abstractNumId w:val="31"/>
  </w:num>
  <w:num w:numId="24">
    <w:abstractNumId w:val="5"/>
  </w:num>
  <w:num w:numId="25">
    <w:abstractNumId w:val="6"/>
  </w:num>
  <w:num w:numId="26">
    <w:abstractNumId w:val="8"/>
  </w:num>
  <w:num w:numId="27">
    <w:abstractNumId w:val="26"/>
  </w:num>
  <w:num w:numId="28">
    <w:abstractNumId w:val="13"/>
  </w:num>
  <w:num w:numId="29">
    <w:abstractNumId w:val="15"/>
  </w:num>
  <w:num w:numId="30">
    <w:abstractNumId w:val="10"/>
  </w:num>
  <w:num w:numId="31">
    <w:abstractNumId w:val="11"/>
  </w:num>
  <w:num w:numId="32">
    <w:abstractNumId w:val="18"/>
  </w:num>
  <w:num w:numId="33">
    <w:abstractNumId w:val="28"/>
  </w:num>
  <w:num w:numId="34">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307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21"/>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902"/>
    <w:rsid w:val="00231D5F"/>
    <w:rsid w:val="00231D60"/>
    <w:rsid w:val="0023208A"/>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901F4"/>
    <w:rsid w:val="002908D2"/>
    <w:rsid w:val="00291247"/>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257"/>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49C"/>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17"/>
    <w:rsid w:val="005727FB"/>
    <w:rsid w:val="00572A4C"/>
    <w:rsid w:val="00573284"/>
    <w:rsid w:val="00573DD4"/>
    <w:rsid w:val="00574108"/>
    <w:rsid w:val="00574858"/>
    <w:rsid w:val="00575314"/>
    <w:rsid w:val="00575332"/>
    <w:rsid w:val="00575587"/>
    <w:rsid w:val="00575AD3"/>
    <w:rsid w:val="00575BED"/>
    <w:rsid w:val="00575EE7"/>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117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1A7"/>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4047"/>
    <w:rsid w:val="006E4EAC"/>
    <w:rsid w:val="006E4FCE"/>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151"/>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47D"/>
    <w:rsid w:val="008056C0"/>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8AF"/>
    <w:rsid w:val="00844EA3"/>
    <w:rsid w:val="00844ED4"/>
    <w:rsid w:val="0084518E"/>
    <w:rsid w:val="00845780"/>
    <w:rsid w:val="00845AC8"/>
    <w:rsid w:val="00845ED2"/>
    <w:rsid w:val="00846175"/>
    <w:rsid w:val="008463D9"/>
    <w:rsid w:val="008463F6"/>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687"/>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885"/>
    <w:rsid w:val="00922BA8"/>
    <w:rsid w:val="00922BD4"/>
    <w:rsid w:val="00922CFE"/>
    <w:rsid w:val="00922E2F"/>
    <w:rsid w:val="0092342A"/>
    <w:rsid w:val="00923629"/>
    <w:rsid w:val="009237AF"/>
    <w:rsid w:val="00923C0D"/>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441"/>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0BFB"/>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0DD"/>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4D4"/>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4832"/>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19E26-8490-43BF-8989-7084B3B7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705</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4719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2022-01-09T14:43:00Z</dcterms:created>
  <dcterms:modified xsi:type="dcterms:W3CDTF">2022-01-09T16:07:00Z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